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E1" w:rsidRDefault="00AF6F60" w:rsidP="00F95772">
      <w:pPr>
        <w:pStyle w:val="CourseTitle"/>
        <w:jc w:val="left"/>
      </w:pPr>
      <w:r>
        <w:rPr>
          <w:noProof/>
        </w:rPr>
        <w:drawing>
          <wp:inline distT="0" distB="0" distL="0" distR="0">
            <wp:extent cx="3219450" cy="1143000"/>
            <wp:effectExtent l="0" t="0" r="0" b="0"/>
            <wp:docPr id="5" name="Picture 1" descr="bioinformati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informatic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45720</wp:posOffset>
                </wp:positionV>
                <wp:extent cx="3098165" cy="155638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3098165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57015" id="AutoShape 3" o:spid="_x0000_s1026" style="position:absolute;margin-left:-7.2pt;margin-top:3.6pt;width:243.95pt;height:1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GWvAIAAMgFAAAOAAAAZHJzL2Uyb0RvYy54bWysVG1vmzAQ/j5p/8Hyd8pLgAAqqdoQpknd&#10;VqndD3DABGtgM9sJ6ab9951Nkibtl2kbH5B9Pj/3PHfnu77Z9x3aUamY4Dn2rzyMKK9Ezfgmx1+f&#10;SifBSGnCa9IJTnP8TBW+Wbx/dz0OGQ1EK7qaSgQgXGXjkONW6yFzXVW1tCfqSgyUw2EjZE80bOXG&#10;rSUZAb3v3MDzYncUsh6kqKhSYC2mQ7yw+E1DK/2laRTVqMsxcNP2L+1/bf7u4ppkG0mGllUHGuQv&#10;WPSEcQh6giqIJmgr2RuonlVSKNHoq0r0rmgaVlGrAdT43is1jy0ZqNUCyVHDKU3q/8FWn3cPErE6&#10;xzFGnPRQotutFjYympn0jIPKwOtxeJBGoBruRfVNIS6WLeEbeqsGSDKUHq4fTVKKsaWkBp7W/ET3&#10;elUz6wWI7gWk2SgAR+vxk6ghPoH4Npf7RvYmJGQJ7W3Jnk8lA0RUgXHmpYkfRxhVcOZHUTxLIsPa&#10;Jdnx+iCV/kBFj8wixxLoWniyu1d6cj26mGhclKzrwE6yjl8YAHOyQHC4as4MDVvmn6mXrpJVEjph&#10;EK+c0CsK57Zchk5c+vOomBXLZeH/MnH9MGtZXVNuwhxbzg//rKSH5p+a5dR0SnSsNnCGkpKb9bKT&#10;aEeg5Uv7HRJy5uZe0rD5Ai2vJPlB6N0FqVPGydwJyzBy0rmXOJ6f3qWxF6ZhUV5Kumec/rskNOY4&#10;jYLIVumM9Cttnv3eaiNZzzQMlY71OU5OTiQzLbnitS2tJqyb1mepMPRfUgHlPhbadqxp0uk5rEX9&#10;DA0rBbQTDBUYf7BohfyB0QijJMfq+5ZIilH3kcMbSP0wNLPHbsJoHsBGnp+sz08IrwAqxxqjabnU&#10;07zaDpJtWojk28RwYR5qw2wLm0c0sTo8LxgXVslhtJl5dL63Xi8DePEbAAD//wMAUEsDBBQABgAI&#10;AAAAIQCXtJ1d4gAAAAkBAAAPAAAAZHJzL2Rvd25yZXYueG1sTI9BS8NAFITvgv9heYIXaTdN01Zi&#10;XooUxCKFYlp73ibPJJh9m2a3Sfz3ric9DjPMfJOsR92InjpbG0aYTQMQxLkpai4RjoeXySMI6xQX&#10;qjFMCN9kYZ3e3iQqLszA79RnrhS+hG2sECrn2lhKm1eklZ2alth7n6bTynnZlbLo1ODLdSPDIFhK&#10;rWr2C5VqaVNR/pVdNcKQ7/vTYfcq9w+nreHL9rLJPt4Q7+/G5ycQjkb3F4ZffI8OqWc6mysXVjQI&#10;k1kU+SjCKgTh/Wg1X4A4I4SLcA4yTeT/B+kPAAAA//8DAFBLAQItABQABgAIAAAAIQC2gziS/gAA&#10;AOEBAAATAAAAAAAAAAAAAAAAAAAAAABbQ29udGVudF9UeXBlc10ueG1sUEsBAi0AFAAGAAgAAAAh&#10;ADj9If/WAAAAlAEAAAsAAAAAAAAAAAAAAAAALwEAAF9yZWxzLy5yZWxzUEsBAi0AFAAGAAgAAAAh&#10;AE1NAZa8AgAAyAUAAA4AAAAAAAAAAAAAAAAALgIAAGRycy9lMm9Eb2MueG1sUEsBAi0AFAAGAAgA&#10;AAAhAJe0nV3iAAAACQEAAA8AAAAAAAAAAAAAAAAAFgUAAGRycy9kb3ducmV2LnhtbFBLBQYAAAAA&#10;BAAEAPMAAAAlBgAAAAA=&#10;" filled="f" stroked="f">
                <o:lock v:ext="edit" aspectratio="t" text="t"/>
              </v:rect>
            </w:pict>
          </mc:Fallback>
        </mc:AlternateContent>
      </w: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rPr>
          <w:sz w:val="44"/>
        </w:rPr>
      </w:pPr>
    </w:p>
    <w:p w:rsidR="00AB17E1" w:rsidRDefault="00AB17E1" w:rsidP="00F95772">
      <w:pPr>
        <w:pStyle w:val="Heading1"/>
        <w:rPr>
          <w:sz w:val="44"/>
        </w:rPr>
      </w:pPr>
    </w:p>
    <w:p w:rsidR="00AB17E1" w:rsidRDefault="00AB17E1"/>
    <w:p w:rsidR="00936A9E" w:rsidRDefault="00936A9E" w:rsidP="00936A9E">
      <w:pPr>
        <w:pStyle w:val="CourseTitle"/>
        <w:rPr>
          <w:b w:val="0"/>
          <w:color w:val="auto"/>
          <w:sz w:val="20"/>
        </w:rPr>
      </w:pPr>
    </w:p>
    <w:p w:rsidR="00936A9E" w:rsidRDefault="00936A9E" w:rsidP="00936A9E">
      <w:pPr>
        <w:pStyle w:val="CourseTitle"/>
        <w:rPr>
          <w:b w:val="0"/>
          <w:color w:val="auto"/>
          <w:sz w:val="20"/>
        </w:rPr>
      </w:pPr>
    </w:p>
    <w:p w:rsidR="00936A9E" w:rsidRDefault="00936A9E" w:rsidP="00742C62">
      <w:pPr>
        <w:pStyle w:val="CourseTitle"/>
        <w:ind w:left="-567"/>
        <w:rPr>
          <w:sz w:val="72"/>
          <w:szCs w:val="72"/>
        </w:rPr>
      </w:pPr>
      <w:r>
        <w:rPr>
          <w:sz w:val="72"/>
          <w:szCs w:val="72"/>
        </w:rPr>
        <w:t xml:space="preserve">Exercises: </w:t>
      </w:r>
      <w:bookmarkStart w:id="0" w:name="_Toc415755212"/>
    </w:p>
    <w:p w:rsidR="00936A9E" w:rsidRPr="00451F67" w:rsidRDefault="00936A9E" w:rsidP="00742C62">
      <w:pPr>
        <w:pStyle w:val="CourseTitle"/>
        <w:ind w:left="-567"/>
        <w:rPr>
          <w:sz w:val="72"/>
          <w:szCs w:val="72"/>
        </w:rPr>
      </w:pPr>
      <w:r w:rsidRPr="00451F67">
        <w:rPr>
          <w:sz w:val="72"/>
          <w:szCs w:val="72"/>
        </w:rPr>
        <w:t>Analysing</w:t>
      </w:r>
      <w:bookmarkEnd w:id="0"/>
      <w:r w:rsidRPr="00451F67">
        <w:rPr>
          <w:sz w:val="72"/>
          <w:szCs w:val="72"/>
        </w:rPr>
        <w:t xml:space="preserve"> </w:t>
      </w:r>
    </w:p>
    <w:p w:rsidR="00936A9E" w:rsidRPr="00451F67" w:rsidRDefault="00936A9E" w:rsidP="00742C62">
      <w:pPr>
        <w:pStyle w:val="CourseTitle"/>
        <w:ind w:left="-567"/>
        <w:rPr>
          <w:sz w:val="72"/>
          <w:szCs w:val="72"/>
        </w:rPr>
      </w:pPr>
      <w:bookmarkStart w:id="1" w:name="_Toc415755213"/>
      <w:r w:rsidRPr="00451F67">
        <w:rPr>
          <w:sz w:val="72"/>
          <w:szCs w:val="72"/>
        </w:rPr>
        <w:t>High Throughput Sequencing Data with SeqMonk</w:t>
      </w:r>
      <w:bookmarkEnd w:id="1"/>
    </w:p>
    <w:p w:rsidR="00936A9E" w:rsidRDefault="00936A9E" w:rsidP="00936A9E">
      <w:pPr>
        <w:pStyle w:val="CourseTitle"/>
        <w:rPr>
          <w:sz w:val="72"/>
          <w:szCs w:val="72"/>
        </w:rPr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Heading1"/>
      </w:pPr>
    </w:p>
    <w:p w:rsidR="00AB17E1" w:rsidRDefault="00AB17E1"/>
    <w:p w:rsidR="00AB17E1" w:rsidRDefault="00AB17E1"/>
    <w:p w:rsidR="00AB17E1" w:rsidRDefault="00AB17E1"/>
    <w:p w:rsidR="00AB17E1" w:rsidRDefault="00AB17E1">
      <w:pPr>
        <w:pStyle w:val="Coursesubscript"/>
      </w:pPr>
    </w:p>
    <w:p w:rsidR="00936A9E" w:rsidRDefault="00936A9E" w:rsidP="00CD20F3">
      <w:pPr>
        <w:pStyle w:val="Coursesubscript"/>
      </w:pPr>
    </w:p>
    <w:p w:rsidR="00AB17E1" w:rsidRDefault="00DE6F92" w:rsidP="00CD20F3">
      <w:pPr>
        <w:pStyle w:val="Coursesubscript"/>
      </w:pPr>
      <w:r>
        <w:t xml:space="preserve">Version </w:t>
      </w:r>
      <w:r w:rsidR="00CA530B">
        <w:t>20</w:t>
      </w:r>
      <w:r w:rsidR="00544751">
        <w:t>23</w:t>
      </w:r>
      <w:r w:rsidR="00581730">
        <w:t>-</w:t>
      </w:r>
      <w:r w:rsidR="00544751">
        <w:t>06</w:t>
      </w:r>
    </w:p>
    <w:p w:rsidR="00AB17E1" w:rsidRDefault="00AB17E1">
      <w:pPr>
        <w:pStyle w:val="Heading1"/>
      </w:pPr>
    </w:p>
    <w:p w:rsidR="00AB17E1" w:rsidRDefault="00AB17E1">
      <w:pPr>
        <w:sectPr w:rsidR="00AB17E1" w:rsidSect="00936A9E">
          <w:headerReference w:type="even" r:id="rId8"/>
          <w:headerReference w:type="default" r:id="rId9"/>
          <w:pgSz w:w="11909" w:h="16834" w:code="9"/>
          <w:pgMar w:top="1077" w:right="1117" w:bottom="1077" w:left="1701" w:header="720" w:footer="720" w:gutter="0"/>
          <w:cols w:space="720"/>
          <w:titlePg/>
        </w:sectPr>
      </w:pPr>
    </w:p>
    <w:p w:rsidR="0026342F" w:rsidRDefault="00F95772" w:rsidP="0026342F">
      <w:pPr>
        <w:pStyle w:val="Heading1"/>
      </w:pPr>
      <w:r>
        <w:br w:type="page"/>
      </w:r>
      <w:bookmarkStart w:id="2" w:name="_Toc415755215"/>
      <w:r w:rsidR="0026342F">
        <w:lastRenderedPageBreak/>
        <w:t>Licence</w:t>
      </w:r>
      <w:bookmarkStart w:id="3" w:name="_GoBack"/>
      <w:bookmarkEnd w:id="2"/>
      <w:bookmarkEnd w:id="3"/>
    </w:p>
    <w:p w:rsidR="00782154" w:rsidRDefault="00782154" w:rsidP="0026342F"/>
    <w:p w:rsidR="0026342F" w:rsidRDefault="001E3963" w:rsidP="0026342F">
      <w:r>
        <w:t>This manual is © 2008-</w:t>
      </w:r>
      <w:r w:rsidR="00544751">
        <w:t>23</w:t>
      </w:r>
      <w:r w:rsidR="0026342F">
        <w:t>, Simon Andrews.</w:t>
      </w:r>
    </w:p>
    <w:p w:rsidR="0026342F" w:rsidRDefault="0026342F" w:rsidP="0026342F"/>
    <w:p w:rsidR="0026342F" w:rsidRDefault="0026342F" w:rsidP="0026342F">
      <w:r>
        <w:t>This manual is distributed under the creative commons Attribution-Non-Commercial-Share Alike 2.0 licence.  This means that you are free:</w:t>
      </w:r>
    </w:p>
    <w:p w:rsidR="0026342F" w:rsidRDefault="0026342F" w:rsidP="0026342F"/>
    <w:p w:rsidR="0026342F" w:rsidRDefault="0026342F" w:rsidP="0026342F">
      <w:pPr>
        <w:numPr>
          <w:ilvl w:val="0"/>
          <w:numId w:val="13"/>
        </w:numPr>
      </w:pPr>
      <w:r>
        <w:t>to copy, distribute, display, and perform the work</w:t>
      </w:r>
    </w:p>
    <w:p w:rsidR="0026342F" w:rsidRDefault="0026342F" w:rsidP="0026342F">
      <w:pPr>
        <w:ind w:left="360"/>
      </w:pPr>
    </w:p>
    <w:p w:rsidR="0026342F" w:rsidRDefault="0026342F" w:rsidP="0026342F">
      <w:pPr>
        <w:numPr>
          <w:ilvl w:val="0"/>
          <w:numId w:val="13"/>
        </w:numPr>
      </w:pPr>
      <w:r>
        <w:t>to make derivative works</w:t>
      </w:r>
    </w:p>
    <w:p w:rsidR="0026342F" w:rsidRDefault="0026342F" w:rsidP="0026342F"/>
    <w:p w:rsidR="0026342F" w:rsidRDefault="0026342F" w:rsidP="0026342F">
      <w:r>
        <w:t>Under the following conditions:</w:t>
      </w:r>
    </w:p>
    <w:p w:rsidR="0026342F" w:rsidRDefault="0026342F" w:rsidP="0026342F"/>
    <w:p w:rsidR="0026342F" w:rsidRDefault="0026342F" w:rsidP="0026342F">
      <w:pPr>
        <w:numPr>
          <w:ilvl w:val="0"/>
          <w:numId w:val="14"/>
        </w:numPr>
      </w:pPr>
      <w:r>
        <w:t>Attribution. You must give the original author credit.</w:t>
      </w:r>
    </w:p>
    <w:p w:rsidR="0026342F" w:rsidRDefault="0026342F" w:rsidP="0026342F"/>
    <w:p w:rsidR="0026342F" w:rsidRDefault="0026342F" w:rsidP="0026342F">
      <w:pPr>
        <w:numPr>
          <w:ilvl w:val="0"/>
          <w:numId w:val="14"/>
        </w:numPr>
      </w:pPr>
      <w:r>
        <w:t>Non-Commercial. You may not use this work for commercial purposes.</w:t>
      </w:r>
    </w:p>
    <w:p w:rsidR="0026342F" w:rsidRDefault="0026342F" w:rsidP="0026342F"/>
    <w:p w:rsidR="0026342F" w:rsidRDefault="0026342F" w:rsidP="0026342F">
      <w:pPr>
        <w:numPr>
          <w:ilvl w:val="0"/>
          <w:numId w:val="14"/>
        </w:numPr>
      </w:pPr>
      <w:r>
        <w:t>Share Alike. If you alter, transform, or build upon this work, you may distribute the resulting work only under a licence identical to this one.</w:t>
      </w:r>
    </w:p>
    <w:p w:rsidR="0026342F" w:rsidRDefault="0026342F" w:rsidP="0026342F"/>
    <w:p w:rsidR="0026342F" w:rsidRDefault="0026342F" w:rsidP="0026342F">
      <w:r>
        <w:t>Please note that:</w:t>
      </w:r>
    </w:p>
    <w:p w:rsidR="0026342F" w:rsidRDefault="0026342F" w:rsidP="0026342F"/>
    <w:p w:rsidR="0026342F" w:rsidRDefault="0026342F" w:rsidP="0026342F">
      <w:pPr>
        <w:numPr>
          <w:ilvl w:val="0"/>
          <w:numId w:val="15"/>
        </w:numPr>
      </w:pPr>
      <w:r>
        <w:t>For any reuse or distribution, you must make clear to others the licence terms of this work.</w:t>
      </w:r>
    </w:p>
    <w:p w:rsidR="0026342F" w:rsidRDefault="0026342F" w:rsidP="0026342F">
      <w:pPr>
        <w:numPr>
          <w:ilvl w:val="0"/>
          <w:numId w:val="15"/>
        </w:numPr>
      </w:pPr>
      <w:r>
        <w:t>Any of these conditions can be waived if you get permission from the copyright holder.</w:t>
      </w:r>
    </w:p>
    <w:p w:rsidR="0026342F" w:rsidRDefault="0026342F" w:rsidP="0026342F">
      <w:pPr>
        <w:numPr>
          <w:ilvl w:val="0"/>
          <w:numId w:val="15"/>
        </w:numPr>
      </w:pPr>
      <w:r>
        <w:t>Nothing in this license impairs or restricts the author's moral rights.</w:t>
      </w:r>
    </w:p>
    <w:p w:rsidR="0026342F" w:rsidRDefault="0026342F" w:rsidP="0026342F"/>
    <w:p w:rsidR="0026342F" w:rsidRDefault="0026342F" w:rsidP="0026342F">
      <w:r>
        <w:t xml:space="preserve">Full details of this licence can be found at </w:t>
      </w:r>
    </w:p>
    <w:p w:rsidR="0026342F" w:rsidRDefault="0026342F" w:rsidP="0026342F">
      <w:hyperlink r:id="rId10" w:history="1">
        <w:r>
          <w:rPr>
            <w:rStyle w:val="Hyperlink"/>
          </w:rPr>
          <w:t>http://creativecommons.org/licenses/by-nc-sa/2.0/uk/legalcode</w:t>
        </w:r>
      </w:hyperlink>
    </w:p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/>
    <w:p w:rsidR="0026342F" w:rsidRDefault="0026342F" w:rsidP="0026342F">
      <w:pPr>
        <w:pStyle w:val="Heading3"/>
      </w:pPr>
    </w:p>
    <w:p w:rsidR="00E501C5" w:rsidRPr="00841BD8" w:rsidRDefault="0026342F" w:rsidP="0026342F">
      <w:pPr>
        <w:pStyle w:val="Heading3"/>
      </w:pPr>
      <w:r>
        <w:t>Exercise 1</w:t>
      </w:r>
      <w:r w:rsidR="00E501C5">
        <w:t>: Creating a Project and Importing Data</w:t>
      </w:r>
    </w:p>
    <w:p w:rsidR="00E501C5" w:rsidRDefault="00E501C5" w:rsidP="00E501C5">
      <w:pPr>
        <w:numPr>
          <w:ilvl w:val="0"/>
          <w:numId w:val="4"/>
        </w:numPr>
        <w:spacing w:line="360" w:lineRule="auto"/>
      </w:pPr>
      <w:r>
        <w:t xml:space="preserve">Create a new project based on the </w:t>
      </w:r>
      <w:r w:rsidRPr="00C74BD4">
        <w:rPr>
          <w:i/>
        </w:rPr>
        <w:t>Mus musculus</w:t>
      </w:r>
      <w:r>
        <w:t xml:space="preserve"> </w:t>
      </w:r>
      <w:r w:rsidR="0050748A">
        <w:t>GRCm38</w:t>
      </w:r>
      <w:r w:rsidR="00581730">
        <w:t>_v</w:t>
      </w:r>
      <w:r w:rsidR="00122C50">
        <w:t>100</w:t>
      </w:r>
      <w:r>
        <w:t xml:space="preserve"> genome</w:t>
      </w:r>
      <w:r w:rsidR="0026342F">
        <w:t>.</w:t>
      </w:r>
    </w:p>
    <w:p w:rsidR="00E501C5" w:rsidRDefault="00E501C5" w:rsidP="00E501C5">
      <w:pPr>
        <w:numPr>
          <w:ilvl w:val="0"/>
          <w:numId w:val="4"/>
        </w:numPr>
        <w:spacing w:line="360" w:lineRule="auto"/>
      </w:pPr>
      <w:r>
        <w:t xml:space="preserve">Use the </w:t>
      </w:r>
      <w:r w:rsidR="0050748A">
        <w:t>BAM/SAM</w:t>
      </w:r>
      <w:r>
        <w:t xml:space="preserve"> import to read in the </w:t>
      </w:r>
      <w:r w:rsidRPr="00702A30">
        <w:t>GSM307618.</w:t>
      </w:r>
      <w:r w:rsidR="002F28D0">
        <w:t>bam</w:t>
      </w:r>
      <w:r w:rsidR="0029228D">
        <w:t xml:space="preserve"> and GSM307619</w:t>
      </w:r>
      <w:r w:rsidR="0029228D" w:rsidRPr="00702A30">
        <w:t>.</w:t>
      </w:r>
      <w:r w:rsidR="0029228D">
        <w:t xml:space="preserve">bam </w:t>
      </w:r>
      <w:r>
        <w:t>file</w:t>
      </w:r>
      <w:r w:rsidR="0029228D">
        <w:t>s</w:t>
      </w:r>
      <w:r>
        <w:t xml:space="preserve"> - extending each read by 250bp</w:t>
      </w:r>
      <w:r w:rsidR="0026342F">
        <w:t>.</w:t>
      </w:r>
    </w:p>
    <w:p w:rsidR="00637C71" w:rsidRDefault="00637C71" w:rsidP="00637C71">
      <w:pPr>
        <w:spacing w:line="360" w:lineRule="auto"/>
        <w:ind w:left="360"/>
      </w:pPr>
    </w:p>
    <w:p w:rsidR="006F40B1" w:rsidRDefault="00544751" w:rsidP="006F40B1">
      <w:pPr>
        <w:numPr>
          <w:ilvl w:val="0"/>
          <w:numId w:val="4"/>
        </w:numPr>
        <w:spacing w:line="360" w:lineRule="auto"/>
      </w:pPr>
      <w:r>
        <w:t>Right click on the data sets in the data view to r</w:t>
      </w:r>
      <w:r w:rsidR="0029228D">
        <w:t>ename the</w:t>
      </w:r>
      <w:r w:rsidR="00E501C5">
        <w:t xml:space="preserve"> </w:t>
      </w:r>
      <w:r w:rsidR="0029228D" w:rsidRPr="00702A30">
        <w:t>GSM307618</w:t>
      </w:r>
      <w:r w:rsidR="0029228D">
        <w:t xml:space="preserve"> </w:t>
      </w:r>
      <w:proofErr w:type="spellStart"/>
      <w:r w:rsidR="00E501C5">
        <w:t>DataSet</w:t>
      </w:r>
      <w:proofErr w:type="spellEnd"/>
      <w:r w:rsidR="00E501C5">
        <w:t xml:space="preserve"> to ES.H3K4me3</w:t>
      </w:r>
      <w:r w:rsidR="0029228D">
        <w:t xml:space="preserve"> and GSM307619 to ES.H3K27me3</w:t>
      </w:r>
      <w:r w:rsidR="00637C71">
        <w:t xml:space="preserve"> – note that the names also update in the chromosome view.</w:t>
      </w:r>
    </w:p>
    <w:p w:rsidR="00637C71" w:rsidRDefault="00637C71" w:rsidP="00637C71">
      <w:pPr>
        <w:spacing w:line="360" w:lineRule="auto"/>
      </w:pPr>
    </w:p>
    <w:p w:rsidR="00E501C5" w:rsidRDefault="00E501C5" w:rsidP="00E501C5">
      <w:pPr>
        <w:numPr>
          <w:ilvl w:val="0"/>
          <w:numId w:val="4"/>
        </w:numPr>
        <w:spacing w:line="360" w:lineRule="auto"/>
      </w:pPr>
      <w:r>
        <w:t>Change the annotation</w:t>
      </w:r>
      <w:r w:rsidR="00637C71">
        <w:t xml:space="preserve"> tracks</w:t>
      </w:r>
      <w:r w:rsidR="00544751">
        <w:t xml:space="preserve"> in the chromosome view</w:t>
      </w:r>
      <w:r>
        <w:t xml:space="preserve"> to just show gene </w:t>
      </w:r>
      <w:r w:rsidR="0050748A">
        <w:t>and CpG island</w:t>
      </w:r>
      <w:r w:rsidR="00637C71">
        <w:t xml:space="preserve"> features</w:t>
      </w:r>
    </w:p>
    <w:p w:rsidR="00544751" w:rsidRDefault="00544751" w:rsidP="00E501C5">
      <w:pPr>
        <w:numPr>
          <w:ilvl w:val="0"/>
          <w:numId w:val="4"/>
        </w:numPr>
        <w:spacing w:line="360" w:lineRule="auto"/>
      </w:pPr>
      <w:r>
        <w:t xml:space="preserve">Change the view of the data so that </w:t>
      </w:r>
      <w:r w:rsidR="00637C71">
        <w:t>the reads are packed with “Medium” density so you can see more of them</w:t>
      </w:r>
      <w:r>
        <w:t>.</w:t>
      </w:r>
    </w:p>
    <w:p w:rsidR="00637C71" w:rsidRDefault="00637C71" w:rsidP="00637C71">
      <w:pPr>
        <w:spacing w:line="360" w:lineRule="auto"/>
        <w:ind w:left="360"/>
      </w:pPr>
    </w:p>
    <w:p w:rsidR="00637C71" w:rsidRDefault="00637C71" w:rsidP="00E501C5">
      <w:pPr>
        <w:numPr>
          <w:ilvl w:val="0"/>
          <w:numId w:val="4"/>
        </w:numPr>
        <w:spacing w:line="360" w:lineRule="auto"/>
      </w:pPr>
      <w:r>
        <w:t xml:space="preserve">Create a data group called “Everything” which contains the reads from </w:t>
      </w:r>
      <w:proofErr w:type="gramStart"/>
      <w:r>
        <w:t>both of the imported</w:t>
      </w:r>
      <w:proofErr w:type="gramEnd"/>
      <w:r>
        <w:t xml:space="preserve"> datasets and add this track to the chromosome view.</w:t>
      </w:r>
    </w:p>
    <w:p w:rsidR="00637C71" w:rsidRDefault="00637C71" w:rsidP="00637C71">
      <w:pPr>
        <w:spacing w:line="360" w:lineRule="auto"/>
      </w:pPr>
    </w:p>
    <w:p w:rsidR="00E501C5" w:rsidRDefault="00E501C5" w:rsidP="00E501C5">
      <w:pPr>
        <w:numPr>
          <w:ilvl w:val="0"/>
          <w:numId w:val="4"/>
        </w:numPr>
        <w:spacing w:line="360" w:lineRule="auto"/>
      </w:pPr>
      <w:r>
        <w:t>Try out the movement and visualisation controls in the chromosome view</w:t>
      </w:r>
    </w:p>
    <w:p w:rsidR="00E501C5" w:rsidRDefault="00E501C5" w:rsidP="00E501C5">
      <w:pPr>
        <w:numPr>
          <w:ilvl w:val="1"/>
          <w:numId w:val="4"/>
        </w:numPr>
        <w:spacing w:line="360" w:lineRule="auto"/>
      </w:pPr>
      <w:r>
        <w:t>Try zooming in and out of some sequence clusters to see how they look</w:t>
      </w:r>
    </w:p>
    <w:p w:rsidR="00E501C5" w:rsidRDefault="00544751" w:rsidP="00E501C5">
      <w:pPr>
        <w:numPr>
          <w:ilvl w:val="1"/>
          <w:numId w:val="4"/>
        </w:numPr>
        <w:spacing w:line="360" w:lineRule="auto"/>
      </w:pPr>
      <w:r>
        <w:t>Move to some different chromosomes</w:t>
      </w:r>
    </w:p>
    <w:p w:rsidR="00E501C5" w:rsidRDefault="00544751" w:rsidP="00E501C5">
      <w:pPr>
        <w:numPr>
          <w:ilvl w:val="1"/>
          <w:numId w:val="4"/>
        </w:numPr>
        <w:spacing w:line="360" w:lineRule="auto"/>
      </w:pPr>
      <w:r>
        <w:t xml:space="preserve">Find the </w:t>
      </w:r>
      <w:proofErr w:type="spellStart"/>
      <w:r>
        <w:t>Xist</w:t>
      </w:r>
      <w:proofErr w:type="spellEnd"/>
      <w:r>
        <w:t xml:space="preserve"> gene and look at the data around it</w:t>
      </w:r>
    </w:p>
    <w:p w:rsidR="0026342F" w:rsidRDefault="0026342F" w:rsidP="0026342F">
      <w:pPr>
        <w:pStyle w:val="Heading3"/>
      </w:pPr>
    </w:p>
    <w:p w:rsidR="00E501C5" w:rsidRDefault="0026342F" w:rsidP="0026342F">
      <w:pPr>
        <w:pStyle w:val="Heading3"/>
      </w:pPr>
      <w:r>
        <w:t>Exercise 2</w:t>
      </w:r>
      <w:r w:rsidR="00E501C5">
        <w:t>: Quantitation</w:t>
      </w:r>
      <w:r w:rsidR="00544751">
        <w:t xml:space="preserve"> and Plotting</w:t>
      </w:r>
    </w:p>
    <w:p w:rsidR="00E501C5" w:rsidRDefault="00E501C5" w:rsidP="00E501C5">
      <w:pPr>
        <w:numPr>
          <w:ilvl w:val="0"/>
          <w:numId w:val="5"/>
        </w:numPr>
        <w:spacing w:line="360" w:lineRule="auto"/>
      </w:pPr>
      <w:r>
        <w:t xml:space="preserve">Generate </w:t>
      </w:r>
      <w:r w:rsidR="00544751">
        <w:t xml:space="preserve">a probe set of </w:t>
      </w:r>
      <w:r>
        <w:t>promoter probes</w:t>
      </w:r>
      <w:r w:rsidR="00544751">
        <w:t xml:space="preserve">.  This will use the Feature Probe Generator.  Make probes </w:t>
      </w:r>
      <w:r w:rsidR="00544751" w:rsidRPr="00637C71">
        <w:rPr>
          <w:b/>
        </w:rPr>
        <w:t>upstream</w:t>
      </w:r>
      <w:r w:rsidR="00544751">
        <w:t xml:space="preserve"> of all </w:t>
      </w:r>
      <w:r w:rsidR="00637C71" w:rsidRPr="00637C71">
        <w:rPr>
          <w:b/>
        </w:rPr>
        <w:t>gene</w:t>
      </w:r>
      <w:r w:rsidR="00544751">
        <w:t xml:space="preserve"> features</w:t>
      </w:r>
      <w:r>
        <w:t xml:space="preserve"> </w:t>
      </w:r>
      <w:r w:rsidR="00CD20F3">
        <w:t xml:space="preserve">from </w:t>
      </w:r>
      <w:r w:rsidR="00CD20F3" w:rsidRPr="00637C71">
        <w:rPr>
          <w:b/>
        </w:rPr>
        <w:t>-1000bp</w:t>
      </w:r>
      <w:r w:rsidR="00CD20F3">
        <w:t xml:space="preserve"> </w:t>
      </w:r>
      <w:r w:rsidR="00637C71">
        <w:t>to</w:t>
      </w:r>
      <w:r w:rsidR="00CD20F3">
        <w:t xml:space="preserve"> </w:t>
      </w:r>
      <w:r w:rsidR="00CD20F3" w:rsidRPr="00637C71">
        <w:rPr>
          <w:b/>
        </w:rPr>
        <w:t>+10</w:t>
      </w:r>
      <w:r w:rsidRPr="00637C71">
        <w:rPr>
          <w:b/>
        </w:rPr>
        <w:t>00</w:t>
      </w:r>
      <w:r w:rsidR="0029228D" w:rsidRPr="00637C71">
        <w:rPr>
          <w:b/>
        </w:rPr>
        <w:t>bp</w:t>
      </w:r>
      <w:r w:rsidR="0029228D">
        <w:t>.</w:t>
      </w:r>
      <w:r w:rsidR="00637C71">
        <w:t xml:space="preserve"> Call the new probe set “Promoters”</w:t>
      </w:r>
    </w:p>
    <w:p w:rsidR="00637C71" w:rsidRDefault="00637C71" w:rsidP="00637C71">
      <w:pPr>
        <w:spacing w:line="360" w:lineRule="auto"/>
        <w:ind w:left="360"/>
      </w:pPr>
    </w:p>
    <w:p w:rsidR="00E501C5" w:rsidRDefault="00E501C5" w:rsidP="00E501C5">
      <w:pPr>
        <w:numPr>
          <w:ilvl w:val="0"/>
          <w:numId w:val="5"/>
        </w:numPr>
        <w:spacing w:line="360" w:lineRule="auto"/>
      </w:pPr>
      <w:r>
        <w:t>Do a simple read count quantitation</w:t>
      </w:r>
      <w:r w:rsidR="00544751">
        <w:t xml:space="preserve"> using default values, but </w:t>
      </w:r>
      <w:r w:rsidR="00544751" w:rsidRPr="0054560E">
        <w:rPr>
          <w:b/>
        </w:rPr>
        <w:t xml:space="preserve">without </w:t>
      </w:r>
      <w:r w:rsidR="00544751">
        <w:t>log transforming</w:t>
      </w:r>
      <w:r w:rsidR="0026342F">
        <w:t>.</w:t>
      </w:r>
    </w:p>
    <w:p w:rsidR="00637C71" w:rsidRDefault="00637C71" w:rsidP="00637C71">
      <w:pPr>
        <w:spacing w:line="360" w:lineRule="auto"/>
      </w:pPr>
    </w:p>
    <w:p w:rsidR="00544751" w:rsidRDefault="00544751" w:rsidP="00E501C5">
      <w:pPr>
        <w:numPr>
          <w:ilvl w:val="0"/>
          <w:numId w:val="5"/>
        </w:numPr>
        <w:spacing w:line="360" w:lineRule="auto"/>
      </w:pPr>
      <w:r>
        <w:t>Look at the probes and check they are appearing in the right place in the genome.</w:t>
      </w:r>
    </w:p>
    <w:p w:rsidR="0054560E" w:rsidRDefault="0054560E" w:rsidP="0054560E">
      <w:pPr>
        <w:numPr>
          <w:ilvl w:val="0"/>
          <w:numId w:val="5"/>
        </w:numPr>
        <w:spacing w:line="360" w:lineRule="auto"/>
      </w:pPr>
      <w:r>
        <w:t>Double click on the probe set in the data view and read the description of the probe generation and quantitation to check you did what you intended.</w:t>
      </w:r>
    </w:p>
    <w:p w:rsidR="0054560E" w:rsidRDefault="0054560E" w:rsidP="0054560E">
      <w:pPr>
        <w:spacing w:line="360" w:lineRule="auto"/>
        <w:ind w:left="360"/>
      </w:pPr>
    </w:p>
    <w:p w:rsidR="0054560E" w:rsidRDefault="0054560E" w:rsidP="0054560E">
      <w:pPr>
        <w:numPr>
          <w:ilvl w:val="0"/>
          <w:numId w:val="5"/>
        </w:numPr>
        <w:spacing w:line="360" w:lineRule="auto"/>
      </w:pPr>
      <w:r>
        <w:t xml:space="preserve">Adjust the scaling of the </w:t>
      </w:r>
      <w:proofErr w:type="spellStart"/>
      <w:r>
        <w:t>quantitations</w:t>
      </w:r>
      <w:proofErr w:type="spellEnd"/>
      <w:r>
        <w:t xml:space="preserve"> to an appropriate level.</w:t>
      </w:r>
    </w:p>
    <w:p w:rsidR="0039471D" w:rsidRDefault="0039471D" w:rsidP="0039471D">
      <w:pPr>
        <w:spacing w:line="360" w:lineRule="auto"/>
        <w:ind w:left="360"/>
      </w:pPr>
    </w:p>
    <w:p w:rsidR="00637C71" w:rsidRDefault="0054560E" w:rsidP="00E501C5">
      <w:pPr>
        <w:numPr>
          <w:ilvl w:val="0"/>
          <w:numId w:val="5"/>
        </w:numPr>
        <w:spacing w:line="360" w:lineRule="auto"/>
      </w:pPr>
      <w:r>
        <w:t xml:space="preserve">Select the K4 data set in the Data </w:t>
      </w:r>
      <w:r w:rsidR="00E501C5">
        <w:t xml:space="preserve">View </w:t>
      </w:r>
      <w:r w:rsidR="00637C71">
        <w:t xml:space="preserve">and have a look at how the </w:t>
      </w:r>
      <w:proofErr w:type="spellStart"/>
      <w:r w:rsidR="00637C71">
        <w:t>quantitations</w:t>
      </w:r>
      <w:proofErr w:type="spellEnd"/>
      <w:r w:rsidR="00637C71">
        <w:t xml:space="preserve"> spread out over the whole genome in the genome view.</w:t>
      </w:r>
    </w:p>
    <w:p w:rsidR="00637C71" w:rsidRDefault="00637C71" w:rsidP="00637C71">
      <w:pPr>
        <w:pStyle w:val="ListParagraph"/>
      </w:pPr>
    </w:p>
    <w:p w:rsidR="00E501C5" w:rsidRDefault="00637C71" w:rsidP="00E501C5">
      <w:pPr>
        <w:numPr>
          <w:ilvl w:val="0"/>
          <w:numId w:val="5"/>
        </w:numPr>
        <w:spacing w:line="360" w:lineRule="auto"/>
      </w:pPr>
      <w:r>
        <w:t>S</w:t>
      </w:r>
      <w:r w:rsidR="0054560E">
        <w:t>elect Plotting &gt; Probe Value Histogram to look at the distribution of values</w:t>
      </w:r>
      <w:r>
        <w:t xml:space="preserve"> in the K4 data</w:t>
      </w:r>
      <w:r w:rsidR="0054560E">
        <w:t>.  You can drag a box within this plot to zoom in on parts of the quantitation range (right click to zoom out again).</w:t>
      </w:r>
    </w:p>
    <w:p w:rsidR="0054560E" w:rsidRDefault="0054560E" w:rsidP="0054560E">
      <w:pPr>
        <w:spacing w:line="360" w:lineRule="auto"/>
      </w:pPr>
    </w:p>
    <w:p w:rsidR="00E501C5" w:rsidRDefault="0039471D" w:rsidP="00E501C5">
      <w:pPr>
        <w:numPr>
          <w:ilvl w:val="0"/>
          <w:numId w:val="5"/>
        </w:numPr>
        <w:spacing w:line="360" w:lineRule="auto"/>
      </w:pPr>
      <w:r>
        <w:t xml:space="preserve">Go back to Data &gt; Quantitate existing probes and </w:t>
      </w:r>
      <w:proofErr w:type="spellStart"/>
      <w:r>
        <w:t>r</w:t>
      </w:r>
      <w:r w:rsidR="00E501C5">
        <w:t>equantitate</w:t>
      </w:r>
      <w:proofErr w:type="spellEnd"/>
      <w:r w:rsidR="00E501C5">
        <w:t xml:space="preserve"> the data </w:t>
      </w:r>
      <w:r>
        <w:t>as before, but this time use</w:t>
      </w:r>
      <w:r w:rsidR="00E501C5">
        <w:t xml:space="preserve"> a log transformed read count</w:t>
      </w:r>
      <w:r w:rsidR="0026342F">
        <w:t>.</w:t>
      </w:r>
    </w:p>
    <w:p w:rsidR="00E501C5" w:rsidRDefault="00E501C5" w:rsidP="00E501C5">
      <w:pPr>
        <w:numPr>
          <w:ilvl w:val="0"/>
          <w:numId w:val="5"/>
        </w:numPr>
        <w:spacing w:line="360" w:lineRule="auto"/>
      </w:pPr>
      <w:r>
        <w:lastRenderedPageBreak/>
        <w:t>View the modified histogram to see if it's clearer</w:t>
      </w:r>
      <w:r w:rsidR="0026342F">
        <w:t>.</w:t>
      </w:r>
    </w:p>
    <w:p w:rsidR="0039471D" w:rsidRDefault="0039471D" w:rsidP="0039471D">
      <w:pPr>
        <w:spacing w:line="360" w:lineRule="auto"/>
        <w:ind w:left="360"/>
      </w:pPr>
    </w:p>
    <w:p w:rsidR="003E2D23" w:rsidRDefault="003E2D23" w:rsidP="00E501C5">
      <w:pPr>
        <w:numPr>
          <w:ilvl w:val="0"/>
          <w:numId w:val="5"/>
        </w:numPr>
        <w:spacing w:line="360" w:lineRule="auto"/>
      </w:pPr>
      <w:r>
        <w:t xml:space="preserve">Draw a scatterplot of the </w:t>
      </w:r>
      <w:r w:rsidR="00620819">
        <w:t>K4 vs the K27 datasets</w:t>
      </w:r>
      <w:r>
        <w:t xml:space="preserve"> to see how they compare</w:t>
      </w:r>
      <w:r w:rsidR="0026342F">
        <w:t>.</w:t>
      </w:r>
      <w:r w:rsidR="00FB332B">
        <w:t xml:space="preserve">  Double click on interesting looking points to change the chromosome view to show that region of the genome.</w:t>
      </w:r>
    </w:p>
    <w:p w:rsidR="0039471D" w:rsidRDefault="0039471D" w:rsidP="0039471D">
      <w:pPr>
        <w:pStyle w:val="ListParagraph"/>
      </w:pPr>
    </w:p>
    <w:p w:rsidR="0039471D" w:rsidRDefault="0039471D" w:rsidP="0039471D">
      <w:pPr>
        <w:spacing w:line="360" w:lineRule="auto"/>
        <w:ind w:left="360"/>
      </w:pPr>
    </w:p>
    <w:p w:rsidR="00E501C5" w:rsidRDefault="0026342F" w:rsidP="0026342F">
      <w:pPr>
        <w:pStyle w:val="Heading3"/>
      </w:pPr>
      <w:r>
        <w:t>Exercise 3</w:t>
      </w:r>
      <w:r w:rsidR="00E501C5">
        <w:t>: Filtering</w:t>
      </w:r>
    </w:p>
    <w:p w:rsidR="00E501C5" w:rsidRDefault="00620819" w:rsidP="00E501C5">
      <w:pPr>
        <w:numPr>
          <w:ilvl w:val="0"/>
          <w:numId w:val="6"/>
        </w:numPr>
        <w:spacing w:line="360" w:lineRule="auto"/>
      </w:pPr>
      <w:r>
        <w:t>Look at</w:t>
      </w:r>
      <w:r w:rsidR="00E501C5">
        <w:t xml:space="preserve"> the probe value histogram to pick a </w:t>
      </w:r>
      <w:r w:rsidR="00A84D3B">
        <w:t>cut-off</w:t>
      </w:r>
      <w:r w:rsidR="006F40B1">
        <w:t xml:space="preserve"> value</w:t>
      </w:r>
      <w:r w:rsidR="00E501C5">
        <w:t xml:space="preserve"> which will filter out only promoters showing enrichment in H3K4me3</w:t>
      </w:r>
      <w:r w:rsidR="006F40B1">
        <w:t xml:space="preserve"> (those in the right half of the bimodal distribution)</w:t>
      </w:r>
      <w:r w:rsidR="0026342F">
        <w:t>.</w:t>
      </w:r>
    </w:p>
    <w:p w:rsidR="00620819" w:rsidRDefault="00620819" w:rsidP="00620819">
      <w:pPr>
        <w:spacing w:line="360" w:lineRule="auto"/>
        <w:ind w:left="360"/>
      </w:pPr>
    </w:p>
    <w:p w:rsidR="00E501C5" w:rsidRDefault="00620819" w:rsidP="00E501C5">
      <w:pPr>
        <w:numPr>
          <w:ilvl w:val="0"/>
          <w:numId w:val="6"/>
        </w:numPr>
        <w:spacing w:line="360" w:lineRule="auto"/>
      </w:pPr>
      <w:r>
        <w:t xml:space="preserve">Use Filtering &gt; Filter by Values &gt; Individual probes to create a probe list from just probes which have higher values in K4 than the </w:t>
      </w:r>
      <w:proofErr w:type="spellStart"/>
      <w:r>
        <w:t>cutoff</w:t>
      </w:r>
      <w:proofErr w:type="spellEnd"/>
      <w:r>
        <w:t xml:space="preserve"> you selected.  Call the list “High in K4”</w:t>
      </w:r>
    </w:p>
    <w:p w:rsidR="00620819" w:rsidRDefault="00620819" w:rsidP="00620819">
      <w:pPr>
        <w:pStyle w:val="ListParagraph"/>
      </w:pPr>
    </w:p>
    <w:p w:rsidR="00620819" w:rsidRDefault="00620819" w:rsidP="00E501C5">
      <w:pPr>
        <w:numPr>
          <w:ilvl w:val="0"/>
          <w:numId w:val="6"/>
        </w:numPr>
        <w:spacing w:line="360" w:lineRule="auto"/>
      </w:pPr>
      <w:r>
        <w:t>Find the new list in the data view and look at the description to check it matches what you intended to do.</w:t>
      </w:r>
    </w:p>
    <w:p w:rsidR="00620819" w:rsidRDefault="00620819" w:rsidP="00620819">
      <w:pPr>
        <w:pStyle w:val="ListParagraph"/>
      </w:pPr>
    </w:p>
    <w:p w:rsidR="00620819" w:rsidRDefault="00620819" w:rsidP="00E501C5">
      <w:pPr>
        <w:numPr>
          <w:ilvl w:val="0"/>
          <w:numId w:val="6"/>
        </w:numPr>
        <w:spacing w:line="360" w:lineRule="auto"/>
      </w:pPr>
      <w:r>
        <w:t>Select the list and draw a scatterplot again.  Note that only the probes in the filtered list are used.</w:t>
      </w:r>
    </w:p>
    <w:p w:rsidR="00620819" w:rsidRDefault="00620819" w:rsidP="00620819">
      <w:pPr>
        <w:pStyle w:val="ListParagraph"/>
      </w:pPr>
    </w:p>
    <w:p w:rsidR="00620819" w:rsidRDefault="00620819" w:rsidP="00E501C5">
      <w:pPr>
        <w:numPr>
          <w:ilvl w:val="0"/>
          <w:numId w:val="6"/>
        </w:numPr>
        <w:spacing w:line="360" w:lineRule="auto"/>
      </w:pPr>
      <w:r>
        <w:t xml:space="preserve">Draw a </w:t>
      </w:r>
      <w:proofErr w:type="spellStart"/>
      <w:r>
        <w:t>beanplot</w:t>
      </w:r>
      <w:proofErr w:type="spellEnd"/>
      <w:r>
        <w:t xml:space="preserve"> of </w:t>
      </w:r>
      <w:proofErr w:type="gramStart"/>
      <w:r>
        <w:t>all of</w:t>
      </w:r>
      <w:proofErr w:type="gramEnd"/>
      <w:r>
        <w:t xml:space="preserve"> the data tracks for both the Promoters and High in K4 lists.</w:t>
      </w:r>
    </w:p>
    <w:p w:rsidR="00620819" w:rsidRDefault="00620819" w:rsidP="00620819">
      <w:pPr>
        <w:pStyle w:val="ListParagraph"/>
      </w:pPr>
    </w:p>
    <w:p w:rsidR="00745A1A" w:rsidRDefault="00745A1A" w:rsidP="00E501C5">
      <w:pPr>
        <w:numPr>
          <w:ilvl w:val="0"/>
          <w:numId w:val="6"/>
        </w:numPr>
        <w:spacing w:line="360" w:lineRule="auto"/>
      </w:pPr>
      <w:r>
        <w:t xml:space="preserve">Filter from this enriched list promoters which do and don’t overlap with CpG islands.  Draw trend plots for </w:t>
      </w:r>
      <w:proofErr w:type="gramStart"/>
      <w:r>
        <w:t>both of these</w:t>
      </w:r>
      <w:proofErr w:type="gramEnd"/>
      <w:r>
        <w:t xml:space="preserve"> and see if there’s a difference.</w:t>
      </w:r>
    </w:p>
    <w:p w:rsidR="00620819" w:rsidRDefault="00620819" w:rsidP="00620819">
      <w:pPr>
        <w:pStyle w:val="ListParagraph"/>
      </w:pPr>
    </w:p>
    <w:p w:rsidR="00620819" w:rsidRDefault="00620819" w:rsidP="00E501C5">
      <w:pPr>
        <w:numPr>
          <w:ilvl w:val="0"/>
          <w:numId w:val="6"/>
        </w:numPr>
        <w:spacing w:line="360" w:lineRule="auto"/>
      </w:pPr>
      <w:r>
        <w:t xml:space="preserve">Select the “High in K4” list then </w:t>
      </w:r>
      <w:r w:rsidR="005B567A">
        <w:t>create a new list</w:t>
      </w:r>
      <w:r>
        <w:t xml:space="preserve"> using Filtering &gt; Filter by position to separate out the probes on </w:t>
      </w:r>
      <w:r w:rsidR="005B567A">
        <w:t>the mitochondrion (MT)</w:t>
      </w:r>
    </w:p>
    <w:p w:rsidR="005B567A" w:rsidRDefault="005B567A" w:rsidP="005B567A">
      <w:pPr>
        <w:pStyle w:val="ListParagraph"/>
      </w:pPr>
    </w:p>
    <w:p w:rsidR="005B567A" w:rsidRDefault="005B567A" w:rsidP="00E501C5">
      <w:pPr>
        <w:numPr>
          <w:ilvl w:val="0"/>
          <w:numId w:val="6"/>
        </w:numPr>
        <w:spacing w:line="360" w:lineRule="auto"/>
      </w:pPr>
      <w:r>
        <w:t xml:space="preserve">Draw a scatterplot of the High in K4 probes, then use the button at the top to highlight the </w:t>
      </w:r>
      <w:proofErr w:type="spellStart"/>
      <w:r>
        <w:t>Mitochrondrial</w:t>
      </w:r>
      <w:proofErr w:type="spellEnd"/>
      <w:r>
        <w:t xml:space="preserve"> probes on the plot.</w:t>
      </w:r>
    </w:p>
    <w:p w:rsidR="0026342F" w:rsidRDefault="0026342F" w:rsidP="0026342F">
      <w:pPr>
        <w:pStyle w:val="Heading3"/>
      </w:pPr>
    </w:p>
    <w:p w:rsidR="00E501C5" w:rsidRPr="0026342F" w:rsidRDefault="0026342F" w:rsidP="0026342F">
      <w:pPr>
        <w:pStyle w:val="Heading3"/>
      </w:pPr>
      <w:r>
        <w:t xml:space="preserve">Exercise </w:t>
      </w:r>
      <w:r w:rsidR="005B567A">
        <w:t>4</w:t>
      </w:r>
      <w:r w:rsidR="00E501C5" w:rsidRPr="0026342F">
        <w:t xml:space="preserve">: </w:t>
      </w:r>
      <w:r w:rsidR="005B567A">
        <w:t>Saving things</w:t>
      </w:r>
    </w:p>
    <w:p w:rsidR="00AB17E1" w:rsidRDefault="005B567A" w:rsidP="005B567A">
      <w:pPr>
        <w:numPr>
          <w:ilvl w:val="0"/>
          <w:numId w:val="10"/>
        </w:numPr>
        <w:spacing w:line="312" w:lineRule="auto"/>
      </w:pPr>
      <w:r>
        <w:t>Save your seqmonk project to your home directory.  Call it “</w:t>
      </w:r>
      <w:proofErr w:type="spellStart"/>
      <w:r>
        <w:t>course_example.smk</w:t>
      </w:r>
      <w:proofErr w:type="spellEnd"/>
      <w:r>
        <w:t>”</w:t>
      </w:r>
    </w:p>
    <w:p w:rsidR="005B567A" w:rsidRDefault="005B567A" w:rsidP="005B567A">
      <w:pPr>
        <w:numPr>
          <w:ilvl w:val="0"/>
          <w:numId w:val="10"/>
        </w:numPr>
        <w:spacing w:line="312" w:lineRule="auto"/>
      </w:pPr>
      <w:r>
        <w:t>Draw a bean plot of all probes for all data stores and then save the plot as both a PNG and an SVG file.</w:t>
      </w:r>
    </w:p>
    <w:p w:rsidR="005B567A" w:rsidRDefault="005B567A" w:rsidP="005B567A">
      <w:pPr>
        <w:numPr>
          <w:ilvl w:val="0"/>
          <w:numId w:val="10"/>
        </w:numPr>
        <w:spacing w:line="312" w:lineRule="auto"/>
      </w:pPr>
      <w:r>
        <w:t>Find the “</w:t>
      </w:r>
      <w:proofErr w:type="spellStart"/>
      <w:r>
        <w:t>nanog</w:t>
      </w:r>
      <w:proofErr w:type="spellEnd"/>
      <w:r>
        <w:t xml:space="preserve">” gene and export a picture of the chromosome view for the region around that gene (File &gt; Export Current View &gt; Chromosome </w:t>
      </w:r>
      <w:proofErr w:type="gramStart"/>
      <w:r>
        <w:t>View )</w:t>
      </w:r>
      <w:proofErr w:type="gramEnd"/>
    </w:p>
    <w:p w:rsidR="005B567A" w:rsidRDefault="005B567A" w:rsidP="005B567A">
      <w:pPr>
        <w:numPr>
          <w:ilvl w:val="0"/>
          <w:numId w:val="10"/>
        </w:numPr>
        <w:spacing w:line="312" w:lineRule="auto"/>
      </w:pPr>
      <w:r>
        <w:t>Generate a Data Store Summary Report and save it to a text file.</w:t>
      </w:r>
    </w:p>
    <w:p w:rsidR="005B567A" w:rsidRDefault="005B567A" w:rsidP="005B567A">
      <w:pPr>
        <w:spacing w:line="312" w:lineRule="auto"/>
        <w:ind w:left="360"/>
      </w:pPr>
    </w:p>
    <w:p w:rsidR="005B567A" w:rsidRDefault="005B567A" w:rsidP="005B567A">
      <w:pPr>
        <w:numPr>
          <w:ilvl w:val="0"/>
          <w:numId w:val="10"/>
        </w:numPr>
        <w:spacing w:line="312" w:lineRule="auto"/>
      </w:pPr>
      <w:r>
        <w:t xml:space="preserve">Have a look at your vistory and see if you can track </w:t>
      </w:r>
      <w:proofErr w:type="gramStart"/>
      <w:r>
        <w:t>all of</w:t>
      </w:r>
      <w:proofErr w:type="gramEnd"/>
      <w:r>
        <w:t xml:space="preserve"> the events it has recorded.</w:t>
      </w:r>
    </w:p>
    <w:p w:rsidR="005B567A" w:rsidRDefault="005B567A" w:rsidP="005B567A">
      <w:pPr>
        <w:numPr>
          <w:ilvl w:val="0"/>
          <w:numId w:val="10"/>
        </w:numPr>
        <w:spacing w:line="312" w:lineRule="auto"/>
      </w:pPr>
      <w:r>
        <w:t>Put a title and some explanatory text into the vistory to describe what you’ve done.</w:t>
      </w:r>
    </w:p>
    <w:p w:rsidR="005B567A" w:rsidRDefault="005B567A" w:rsidP="005B567A">
      <w:pPr>
        <w:numPr>
          <w:ilvl w:val="0"/>
          <w:numId w:val="10"/>
        </w:numPr>
        <w:spacing w:line="312" w:lineRule="auto"/>
      </w:pPr>
      <w:r>
        <w:t>Try embedding some plots into the vistory so you know how that works.</w:t>
      </w:r>
    </w:p>
    <w:p w:rsidR="005B567A" w:rsidRDefault="005B567A" w:rsidP="005B567A">
      <w:pPr>
        <w:numPr>
          <w:ilvl w:val="0"/>
          <w:numId w:val="10"/>
        </w:numPr>
        <w:spacing w:line="312" w:lineRule="auto"/>
      </w:pPr>
      <w:r>
        <w:t>Save your Data Store Summary Report into the vistory.</w:t>
      </w:r>
    </w:p>
    <w:p w:rsidR="005B567A" w:rsidRDefault="005B567A" w:rsidP="005B567A">
      <w:pPr>
        <w:numPr>
          <w:ilvl w:val="0"/>
          <w:numId w:val="10"/>
        </w:numPr>
        <w:spacing w:line="312" w:lineRule="auto"/>
      </w:pPr>
      <w:r>
        <w:t>Save the vistory and export it as an HTML file.</w:t>
      </w:r>
    </w:p>
    <w:sectPr w:rsidR="005B567A" w:rsidSect="00936A9E">
      <w:headerReference w:type="first" r:id="rId11"/>
      <w:type w:val="continuous"/>
      <w:pgSz w:w="11909" w:h="16834" w:code="9"/>
      <w:pgMar w:top="1077" w:right="1117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601" w:rsidRDefault="00A97601">
      <w:r>
        <w:separator/>
      </w:r>
    </w:p>
  </w:endnote>
  <w:endnote w:type="continuationSeparator" w:id="0">
    <w:p w:rsidR="00A97601" w:rsidRDefault="00A9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601" w:rsidRDefault="00A97601">
      <w:r>
        <w:separator/>
      </w:r>
    </w:p>
  </w:footnote>
  <w:footnote w:type="continuationSeparator" w:id="0">
    <w:p w:rsidR="00A97601" w:rsidRDefault="00A9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A" w:rsidRDefault="005074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48A" w:rsidRDefault="005074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A" w:rsidRDefault="005074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45D">
      <w:rPr>
        <w:rStyle w:val="PageNumber"/>
        <w:noProof/>
      </w:rPr>
      <w:t>4</w:t>
    </w:r>
    <w:r>
      <w:rPr>
        <w:rStyle w:val="PageNumber"/>
      </w:rPr>
      <w:fldChar w:fldCharType="end"/>
    </w:r>
  </w:p>
  <w:p w:rsidR="0026342F" w:rsidRDefault="00AF6F60" w:rsidP="0037348C">
    <w:pPr>
      <w:pStyle w:val="Header"/>
      <w:spacing w:line="240" w:lineRule="auto"/>
      <w:ind w:right="357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-140335</wp:posOffset>
          </wp:positionV>
          <wp:extent cx="804545" cy="286385"/>
          <wp:effectExtent l="0" t="0" r="0" b="0"/>
          <wp:wrapSquare wrapText="bothSides"/>
          <wp:docPr id="10" name="Picture 10" descr="bioinformatic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ioinformatics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42F">
      <w:t>Exercises: Analysing High Throughput Sequencing Data with SeqMonk</w:t>
    </w:r>
  </w:p>
  <w:p w:rsidR="0050748A" w:rsidRDefault="00AF6F60" w:rsidP="002634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01D57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CkAIAAGsFAAAOAAAAZHJzL2Uyb0RvYy54bWysVFFv2jAQfp+0/2D5PU0CCQHUULUh7KXb&#10;kNptzyZ2iDXHjmxDQNP++84G0tK9TFNBsnz23Zfv7rvz7d2hFWjPtOFK5ji+iTBislKUy22Ovz2v&#10;gilGxhJJiVCS5fjIDL5bfPxw23dzNlKNEpRpBCDSzPsux4213TwMTdWwlpgb1TEJl7XSLbFg6m1I&#10;NekBvRXhKIomYa807bSqmDFwujxd4oXHr2tW2a91bZhFIsfAzfpV+3Xj1nBxS+ZbTbqGV2ca5D9Y&#10;tIRL+OgAtSSWoJ3mf0G1vNLKqNreVKoNVV3zivkcIJs4epPNU0M65nOB4phuKJN5P9jqy36tEac5&#10;TjCSpAWJHrlkKHWV6TszB4dCrrXLrTrIp+5RVT8NkqpoiNwyz/D52EFY7CLCqxBnmA7wN/1nRcGH&#10;7KzyZTrUukW14N13F+jAoRTo4HU5Drqwg0UVHKbZJMpGIF91uQvJ3EG4wE4b+4mpFrlNjgWw94Bk&#10;/2iso/Ti4tylWnEhvOxCoj7Hs3SU+gCjBKfu0rkZvd0UQqM9cY3jfz4/uHntptVOUg/WMELL894S&#10;Lk57+LiQDo/5XjwxAutgYevPIUXfJ79m0aycltMkSEaTMkii5TK4XxVJMFnFWbocL4tiGf92RONk&#10;3nBKmXRcLz0bJ//WE+fpOXXb0LVDUcJrdF89IHvN9H6VRlkyngZZlo6DZFxGwcN0VQT3RTyZZOVD&#10;8VC+YVr67M37kB1K6VipnWX6qaE9otzJP05noxiDATM+yk66ISK28DhVVmOklf3BbeP71vWZw7jS&#10;ehq5/1nrAf1UiIuGzhpUOOf2UirQ/KKvHwc3AadZ2ih6XOvLmMBE+6Dz6+OejNc27F+/kYs/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FVo0C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F51F3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4yfgIAAJMFAAAOAAAAZHJzL2Uyb0RvYy54bWysVMlu2zAQvRfoPxC6K5IsWhsiB7GWXtI0&#10;QNIPoCXKEiqRAslYNor+e4eU7dppD0UQHQQuM2/ezJvh7d1+6NGOCtlxllrejWshyiped2ybWt9f&#10;SjuykFSE1aTnjKbWgUrrbvX50+00JnTBW97XVCAAYTKZxtRqlRoTx5FVSwcib/hIGVw2XAxEwVZs&#10;nVqQCdCH3lm4buBMXNSj4BWVEk7z+dJaGfymoZX61jSSKtSnFnBT5i/Mf6P/zuqWJFtBxrarjjTI&#10;O1gMpGMQ9AyVE0XQq+j+ghq6SnDJG3VT8cHhTdNV1OQA2Xjum2yeWzJSkwsUR47nMsmPg60ed08C&#10;dXVq+RZiZACJHjpGEdaVmUaZgEHGnoTOrdqz5/GBVz8kYjxrCdtSw/DlMIKbpz2cKxe9kSPgb6av&#10;vAYb8qq4KdO+EYOGhAKgvVHjcFaD7hWq4DDw3dgPQLTqdOeQ5OQ4Cqm+UD4gvUitHjgbYLJ7kEoT&#10;IcnJRMdhvOz63ojds6sDMJxPqOmW2ZskQAKW2lLTMUr+jN24iIoI23gRFDZ289y+LzNsB6UXLnM/&#10;z7Lc+6VZeDhpu7qmTAc9dZWH/0+1Y3/P/XDuq3MCzjW6yRQovmHqLbC7XsR2GUShjUu8tOPQjWzX&#10;i9dx4OIY5+U1UyP6PIYQ4L1M0ZRa8XKxNFJI3ne1roDmJsV2k/UC7YgeRPOZfoGbSzPBX1ltZGop&#10;qYvjWpGun9cX2WvG/87+vly6IfYjOwyXvo39wrXXUZnZ95kXBGGxztbFG50Ko738GKkuG+mC7zHG&#10;H8rQeacuM2OjJ2WeuQ2vD0/iNE4w+cbp+Erpp+VyD+vLt3T1Gw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C0N94y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A" w:rsidRDefault="0050748A">
    <w:pPr>
      <w:pStyle w:val="Header"/>
      <w:ind w:right="360"/>
    </w:pPr>
    <w:r>
      <w:rPr>
        <w:noProof/>
      </w:rPr>
      <w:object w:dxaOrig="8002" w:dyaOrig="28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.8pt;margin-top:-2.2pt;width:16.9pt;height:23.8pt;z-index:-251657216;visibility:visible;mso-wrap-edited:f" wrapcoords="-635 0 -635 21150 21600 21150 21600 0 -635 0" o:allowincell="f" fillcolor="#0c9">
          <v:imagedata r:id="rId1" o:title=""/>
          <w10:wrap type="tight" side="largest"/>
        </v:shape>
        <o:OLEObject Type="Embed" ProgID="Word.Picture.8" ShapeID="_x0000_s2057" DrawAspect="Content" ObjectID="_1748434699" r:id="rId2"/>
      </w:object>
    </w:r>
    <w:r>
      <w:t xml:space="preserve">         Name of course</w:t>
    </w:r>
  </w:p>
  <w:p w:rsidR="0050748A" w:rsidRDefault="00AF6F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50525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jLkAIAAGsFAAAOAAAAZHJzL2Uyb0RvYy54bWysVN9v2jAQfp+0/8Hye5ofBAKooWpD2Eu3&#10;IbXbnk3sEGuOHdmGgKb97zsbSEv3Mk0FyfLZd1++u+/Ot3eHVqA904YrmeP4JsKIyUpRLrc5/va8&#10;CqYYGUskJUJJluMjM/hu8fHDbd/NWaIaJSjTCECkmfddjhtru3kYmqphLTE3qmMSLmulW2LB1NuQ&#10;atIDeivCJIomYa807bSqmDFwujxd4oXHr2tW2a91bZhFIsfAzfpV+3Xj1nBxS+ZbTbqGV2ca5D9Y&#10;tIRL+OgAtSSWoJ3mf0G1vNLKqNreVKoNVV3zivkcIJs4epPNU0M65nOB4phuKJN5P9jqy36tEac5&#10;TjCSpAWJHrlkaOoq03dmDg6FXGuXW3WQT92jqn4aJFXRELllnuHzsYOw2EWEVyHOMB3gb/rPioIP&#10;2Vnly3SodYtqwbvvLtCBQynQwetyHHRhB4sqOBxnkyhLQL7qcheSuYNwgZ029hNTLXKbHAtg7wHJ&#10;/tFYR+nFxblLteJCeNmFRH2OZ+Nk7AOMEpy6S+dm9HZTCI32xDWO//n84Oa1m1Y7ST1Ywwgtz3tL&#10;uDjt4eNCOjzme/HECKyDha0/hxR9n/yaRbNyWk7TIE0mZZBGy2VwvyrSYLKKs/FytCyKZfzbEY3T&#10;ecMpZdJxvfRsnP5bT5yn59RtQ9cORQmv0X31gOw10/vVOMrS0TTIsvEoSEdlFDxMV0VwX8STSVY+&#10;FA/lG6alz968D9mhlI6V2lmmnxraI8qd/KPxLIkxGDDjSXbSDRGxhcepshojrewPbhvft67PHMaV&#10;1tPI/c9aD+inQlw0dNagwjm3l1KB5hd9/Ti4CTjN0kbR41pfxgQm2gedXx/3ZLy2Yf/6jVz8AQ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CEkdjL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A01A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x3fgIAAJMFAAAOAAAAZHJzL2Uyb0RvYy54bWysVNuOmzAQfa/Uf7B4J0BCuGnJasOlL9vt&#10;Srv9AAdMsAo2sp2QqOq/d2ySNNn2oVotD8iXmTNn5sz47v7Qd2hPhKScpZY3cy1EWMVryrap9f21&#10;tCMLSYVZjTvOSGodibTuV58/3Y1DQua85V1NBAIQJpNxSK1WqSFxHFm1pMdyxgfC4LLhoscKtmLr&#10;1AKPgN53ztx1A2fkoh4Er4iUcJpPl9bK4DcNqdS3ppFEoS61gJsyf2H+G/13Vnc42Qo8tLQ60cDv&#10;YNFjyiDoBSrHCqOdoH9B9bQSXPJGzSreO7xpaEVMDpCN577J5qXFAzG5QHHkcCmT/DjY6mn/LBCt&#10;QTsLMdyDRI+UERTqyoyDTMAgY89C51Yd2MvwyKsfEjGetZhtiWH4ehzAzdMezo2L3sgB8DfjV16D&#10;Dd4pbsp0aESvIaEA6GDUOF7UIAeFKjgMFm68CEC06nzn4OTsOAipvhDeI71IrQ44G2C8f5RKE8HJ&#10;2UTHYbykXWfE7tjNARhOJ8R0y+SNEyABS22p6Rglf8ZuXERF5Nv+PChs381z+6HMfDsovXCZL/Is&#10;y71fmoXnJy2ta8J00HNXef7/qXbq76kfLn11ScC5RTeZAsU3TL25767nsV0GUWj7pb+049CNbNeL&#10;13Hg+rGfl7dMjejTGEKA9zJFY2rFy/nSSCF5R2tdAc1Niu0m6wTaYz2I5jP9AjfXZoLvWG1kagmu&#10;i9NaYdpN66vsNeN/Z/9QLt3QX0R2GC4Xtr8oXHsdlZn9kHlBEBbrbF280akw2suPkeq6ka74nmL8&#10;oQydd+4yMzZ6UqaZ2/D6+CzO4wSTb5xOr5R+Wq73sL5+S1e/AQ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DGuTx3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  <w:p w:rsidR="0050748A" w:rsidRDefault="00507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B3A"/>
    <w:multiLevelType w:val="hybridMultilevel"/>
    <w:tmpl w:val="F6BC0B30"/>
    <w:lvl w:ilvl="0" w:tplc="9404F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C43A6"/>
    <w:multiLevelType w:val="hybridMultilevel"/>
    <w:tmpl w:val="18DE4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813"/>
    <w:multiLevelType w:val="hybridMultilevel"/>
    <w:tmpl w:val="65223DAC"/>
    <w:lvl w:ilvl="0" w:tplc="43207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9017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091237"/>
    <w:multiLevelType w:val="hybridMultilevel"/>
    <w:tmpl w:val="D24E9A4E"/>
    <w:lvl w:ilvl="0" w:tplc="460225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6D634B"/>
    <w:multiLevelType w:val="hybridMultilevel"/>
    <w:tmpl w:val="E4B454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49176C"/>
    <w:multiLevelType w:val="multilevel"/>
    <w:tmpl w:val="56A8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876D5"/>
    <w:multiLevelType w:val="hybridMultilevel"/>
    <w:tmpl w:val="ADB47214"/>
    <w:lvl w:ilvl="0" w:tplc="ED2C36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3F4FB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7587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4E54CED"/>
    <w:multiLevelType w:val="hybridMultilevel"/>
    <w:tmpl w:val="2FD8FAD2"/>
    <w:lvl w:ilvl="0" w:tplc="13D8C5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484E75"/>
    <w:multiLevelType w:val="multilevel"/>
    <w:tmpl w:val="23C8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8"/>
    <w:rsid w:val="0003700D"/>
    <w:rsid w:val="0005242B"/>
    <w:rsid w:val="000F5E74"/>
    <w:rsid w:val="0010641B"/>
    <w:rsid w:val="00122C50"/>
    <w:rsid w:val="00163540"/>
    <w:rsid w:val="001669B0"/>
    <w:rsid w:val="00185963"/>
    <w:rsid w:val="001911AD"/>
    <w:rsid w:val="001B7B52"/>
    <w:rsid w:val="001C2C52"/>
    <w:rsid w:val="001E3963"/>
    <w:rsid w:val="00207B24"/>
    <w:rsid w:val="0026342F"/>
    <w:rsid w:val="0029228D"/>
    <w:rsid w:val="002F28D0"/>
    <w:rsid w:val="002F39EE"/>
    <w:rsid w:val="0037348C"/>
    <w:rsid w:val="0039471D"/>
    <w:rsid w:val="003B6840"/>
    <w:rsid w:val="003E2D23"/>
    <w:rsid w:val="003E399F"/>
    <w:rsid w:val="00405BCF"/>
    <w:rsid w:val="00406750"/>
    <w:rsid w:val="00451288"/>
    <w:rsid w:val="00472552"/>
    <w:rsid w:val="004B61B0"/>
    <w:rsid w:val="004D17BB"/>
    <w:rsid w:val="00504CF1"/>
    <w:rsid w:val="0050748A"/>
    <w:rsid w:val="005257BC"/>
    <w:rsid w:val="00541BC9"/>
    <w:rsid w:val="00544751"/>
    <w:rsid w:val="0054560E"/>
    <w:rsid w:val="00572AD8"/>
    <w:rsid w:val="00581730"/>
    <w:rsid w:val="005B567A"/>
    <w:rsid w:val="00605D81"/>
    <w:rsid w:val="00614987"/>
    <w:rsid w:val="00620819"/>
    <w:rsid w:val="00636759"/>
    <w:rsid w:val="00637C71"/>
    <w:rsid w:val="00645977"/>
    <w:rsid w:val="006C693D"/>
    <w:rsid w:val="006D680E"/>
    <w:rsid w:val="006E7358"/>
    <w:rsid w:val="006F0734"/>
    <w:rsid w:val="006F40B1"/>
    <w:rsid w:val="006F6063"/>
    <w:rsid w:val="00702A30"/>
    <w:rsid w:val="00742BFE"/>
    <w:rsid w:val="00742C62"/>
    <w:rsid w:val="00745A1A"/>
    <w:rsid w:val="00746C0E"/>
    <w:rsid w:val="00762454"/>
    <w:rsid w:val="00773CEE"/>
    <w:rsid w:val="00782154"/>
    <w:rsid w:val="007906FC"/>
    <w:rsid w:val="007B191A"/>
    <w:rsid w:val="007B4EB7"/>
    <w:rsid w:val="008205CD"/>
    <w:rsid w:val="00835F0F"/>
    <w:rsid w:val="00841BD8"/>
    <w:rsid w:val="008D1C3A"/>
    <w:rsid w:val="008E1F11"/>
    <w:rsid w:val="009054FC"/>
    <w:rsid w:val="009219A7"/>
    <w:rsid w:val="00936A9E"/>
    <w:rsid w:val="00943D57"/>
    <w:rsid w:val="009D5B37"/>
    <w:rsid w:val="00A44461"/>
    <w:rsid w:val="00A72C65"/>
    <w:rsid w:val="00A84D3B"/>
    <w:rsid w:val="00A85073"/>
    <w:rsid w:val="00A97601"/>
    <w:rsid w:val="00AB17E1"/>
    <w:rsid w:val="00AE345D"/>
    <w:rsid w:val="00AE42DB"/>
    <w:rsid w:val="00AF6F60"/>
    <w:rsid w:val="00AF7265"/>
    <w:rsid w:val="00B30BAF"/>
    <w:rsid w:val="00C007A6"/>
    <w:rsid w:val="00C74BD4"/>
    <w:rsid w:val="00CA530B"/>
    <w:rsid w:val="00CB2257"/>
    <w:rsid w:val="00CD20F3"/>
    <w:rsid w:val="00D30D66"/>
    <w:rsid w:val="00D42E09"/>
    <w:rsid w:val="00D44BFA"/>
    <w:rsid w:val="00D8124F"/>
    <w:rsid w:val="00DC0297"/>
    <w:rsid w:val="00DE6F92"/>
    <w:rsid w:val="00DF0FF5"/>
    <w:rsid w:val="00E24812"/>
    <w:rsid w:val="00E31067"/>
    <w:rsid w:val="00E331F7"/>
    <w:rsid w:val="00E36C26"/>
    <w:rsid w:val="00E43A25"/>
    <w:rsid w:val="00E501C5"/>
    <w:rsid w:val="00E926A7"/>
    <w:rsid w:val="00EA7127"/>
    <w:rsid w:val="00EF35B2"/>
    <w:rsid w:val="00F057F1"/>
    <w:rsid w:val="00F16789"/>
    <w:rsid w:val="00F95772"/>
    <w:rsid w:val="00FB332B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A6E08DB"/>
  <w15:chartTrackingRefBased/>
  <w15:docId w15:val="{F58A51E0-894E-48F9-B1AC-CDDB9C47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F95772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qFormat/>
    <w:rsid w:val="00F95772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qFormat/>
    <w:rsid w:val="0026342F"/>
    <w:pPr>
      <w:keepNext/>
      <w:spacing w:line="312" w:lineRule="auto"/>
      <w:outlineLvl w:val="2"/>
    </w:pPr>
    <w:rPr>
      <w:b/>
      <w:snapToGrid w:val="0"/>
      <w:color w:val="1F497D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26342F"/>
    <w:rPr>
      <w:color w:val="0000FF"/>
      <w:u w:val="single"/>
    </w:rPr>
  </w:style>
  <w:style w:type="character" w:customStyle="1" w:styleId="Heading1Char">
    <w:name w:val="Heading 1 Char"/>
    <w:link w:val="Heading1"/>
    <w:rsid w:val="0026342F"/>
    <w:rPr>
      <w:rFonts w:ascii="Arial" w:hAnsi="Arial"/>
      <w:b/>
      <w:color w:val="1F497D"/>
      <w:sz w:val="36"/>
    </w:rPr>
  </w:style>
  <w:style w:type="paragraph" w:styleId="BalloonText">
    <w:name w:val="Balloon Text"/>
    <w:basedOn w:val="Normal"/>
    <w:link w:val="BalloonTextChar"/>
    <w:rsid w:val="00CA53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5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7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creativecommons.org/licenses/by-nc-sa/2.0/uk/legalcod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ioinfgroup\Templates\Bioinformatics%20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Bioinformatics Training.dot</Template>
  <TotalTime>1</TotalTime>
  <Pages>4</Pages>
  <Words>907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scan microarray slides using the</vt:lpstr>
    </vt:vector>
  </TitlesOfParts>
  <Company>The Babraham Institute</Company>
  <LinksUpToDate>false</LinksUpToDate>
  <CharactersWithSpaces>5338</CharactersWithSpaces>
  <SharedDoc>false</SharedDoc>
  <HLinks>
    <vt:vector size="6" baseType="variant"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http://creativecommons.org/licenses/by-nc-sa/2.0/uk/legalcode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SeqMonk exercises</dc:title>
  <dc:subject/>
  <dc:creator>Simon Andrews</dc:creator>
  <cp:keywords/>
  <cp:lastModifiedBy>Simon Andrews</cp:lastModifiedBy>
  <cp:revision>3</cp:revision>
  <cp:lastPrinted>2017-02-01T11:41:00Z</cp:lastPrinted>
  <dcterms:created xsi:type="dcterms:W3CDTF">2023-06-16T14:31:00Z</dcterms:created>
  <dcterms:modified xsi:type="dcterms:W3CDTF">2023-06-16T14:32:00Z</dcterms:modified>
</cp:coreProperties>
</file>